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1B" w:rsidRDefault="0087351B" w:rsidP="0087351B">
      <w:pPr>
        <w:ind w:left="708"/>
        <w:jc w:val="right"/>
        <w:rPr>
          <w:rFonts w:cs="FranklinGothicURWCom-Dem"/>
          <w:b/>
          <w:color w:val="9E005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l-BE"/>
        </w:rPr>
        <w:drawing>
          <wp:inline distT="0" distB="0" distL="0" distR="0" wp14:anchorId="1479411A" wp14:editId="0AC33AF2">
            <wp:extent cx="1150620" cy="748371"/>
            <wp:effectExtent l="0" t="0" r="0" b="0"/>
            <wp:docPr id="1" name="Afbeelding 1" descr="\\sbsuniver\Company Shared Folder\HRwijs\Communicatie\Logo's en huisstijl\Logo HRwijs met vermelding Verso_lowres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univer\Company Shared Folder\HRwijs\Communicatie\Logo's en huisstijl\Logo HRwijs met vermelding Verso_lowres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4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924" w:rsidRPr="00807C00" w:rsidRDefault="00BD2924" w:rsidP="0087351B">
      <w:pPr>
        <w:jc w:val="center"/>
        <w:rPr>
          <w:rFonts w:cs="FranklinGothicURWCom-Dem"/>
          <w:b/>
          <w:color w:val="9E0054"/>
          <w:sz w:val="28"/>
          <w:szCs w:val="28"/>
        </w:rPr>
      </w:pPr>
      <w:r w:rsidRPr="00807C00">
        <w:rPr>
          <w:rFonts w:cs="FranklinGothicURWCom-Dem"/>
          <w:b/>
          <w:color w:val="9E0054"/>
          <w:sz w:val="28"/>
          <w:szCs w:val="28"/>
        </w:rPr>
        <w:t>Voorbeeldbrief</w:t>
      </w:r>
      <w:r w:rsidR="00807C00" w:rsidRPr="00807C00">
        <w:rPr>
          <w:rFonts w:cs="FranklinGothicURWCom-Dem"/>
          <w:b/>
          <w:color w:val="9E0054"/>
          <w:sz w:val="28"/>
          <w:szCs w:val="28"/>
        </w:rPr>
        <w:t xml:space="preserve"> werkhervatting na afwezigheid wegens medische redenen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D2924" w:rsidTr="00BD2924">
        <w:tc>
          <w:tcPr>
            <w:tcW w:w="9212" w:type="dxa"/>
          </w:tcPr>
          <w:p w:rsidR="00853E11" w:rsidRDefault="00853E11" w:rsidP="00BD2924"/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Beste…,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Je bent nu al even afwezig wegens ziekte en we hopen dat je herstel goed verloopt.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Door middel van dit schrijven willen we je er aan herinneren dat je, wanneer je langer dan 14 kalenderdagen / 28 kalenderdagen afwezig bent, je mutualiteit op de hoogte moet stellen om in aanmerking te komen voor een ziekte-uitkering. Een aangifte kan je doen via een ‘getuigschrift arbeidsongeschiktheid’. Je kan dit formulier rechtstreeks opvragen bij je ziekenfonds of downloaden via de website.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Je moet dit document per post versturen. De datum van de poststempel bepaalt of je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aangifte tijdig verstuurd werd. Denk eraan, als je afwezigheid veroorzaakt werd door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 xml:space="preserve">een ongeval, moet je tevens een </w:t>
            </w:r>
            <w:proofErr w:type="spellStart"/>
            <w:r w:rsidRPr="00807C00">
              <w:rPr>
                <w:sz w:val="20"/>
                <w:szCs w:val="20"/>
              </w:rPr>
              <w:t>ongevalaangifte</w:t>
            </w:r>
            <w:proofErr w:type="spellEnd"/>
            <w:r w:rsidRPr="00807C00">
              <w:rPr>
                <w:sz w:val="20"/>
                <w:szCs w:val="20"/>
              </w:rPr>
              <w:t xml:space="preserve"> doen bij je ziekenfonds.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Na een periode van afwezigheid terugkeren naar de werkvloer is niet altijd eenvoudig.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Misschien kan je nog niet onmiddellijk voltijds aan de slag, heb je een aangepast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takenpakket nodig of moet er (tijdelijk) een andere functie gezocht worden. Vaak hebben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medewerkers tijdens hun ziekteperiode al heel wat vragen hierover.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Daarom willen we vanuit NAAM ORGANISATIE onze werknemers hierin ondersteunen.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XX zal in de volgende weken contact met je opnemen om te bespreken of je deze</w:t>
            </w:r>
            <w:r w:rsidR="00732C23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ondersteuning wenst.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Verder kan je een bezoek bij de preventieadviseur-arbeidsgeneesheer aanvragen tijdens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je afwezigheid. Indien gewenst kan je hem/haar informeren over je specifieke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gezondheidssituatie en je vragen over werkhervatting met hem bespreken. De informatie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die je deelt met de preventieadviseur-arbeidsgeneesheer is beschermd door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zijn beroepsgeheim.</w:t>
            </w:r>
          </w:p>
          <w:p w:rsidR="00BD2924" w:rsidRPr="00807C00" w:rsidRDefault="00BD2924" w:rsidP="00807C00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Contactgegevens preventieadviseur-arbeidsgeneesheer: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Als er problemen of conflicten zijn op de werkvloer, kan je ook terecht bij de vertrouwenspersoon.</w:t>
            </w:r>
          </w:p>
          <w:p w:rsidR="00BD2924" w:rsidRPr="00807C00" w:rsidRDefault="00BD2924" w:rsidP="00807C00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Contactgegevens vertrouwenspersoon: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Mocht je nog bepaalde vragen hebben tijdens je ziekteperiode, kan je uiteraard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steeds contact opnemen met je leidinggevende, met de personeelsdienst of de sociale</w:t>
            </w:r>
            <w:r w:rsidR="00853E11">
              <w:rPr>
                <w:sz w:val="20"/>
                <w:szCs w:val="20"/>
              </w:rPr>
              <w:t xml:space="preserve"> </w:t>
            </w:r>
            <w:r w:rsidRPr="00807C00">
              <w:rPr>
                <w:sz w:val="20"/>
                <w:szCs w:val="20"/>
              </w:rPr>
              <w:t>dienst.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We wensen je veel sterkte en beterschap!</w:t>
            </w: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</w:p>
          <w:p w:rsidR="00BD2924" w:rsidRPr="00807C00" w:rsidRDefault="00BD2924" w:rsidP="00BD2924">
            <w:pPr>
              <w:rPr>
                <w:sz w:val="20"/>
                <w:szCs w:val="20"/>
              </w:rPr>
            </w:pPr>
            <w:r w:rsidRPr="00807C00">
              <w:rPr>
                <w:sz w:val="20"/>
                <w:szCs w:val="20"/>
              </w:rPr>
              <w:t>Hoogachtend,</w:t>
            </w:r>
          </w:p>
          <w:p w:rsidR="00853E11" w:rsidRDefault="00853E11" w:rsidP="00BD2924"/>
          <w:p w:rsidR="009C38C8" w:rsidRPr="00BD2924" w:rsidRDefault="009C38C8" w:rsidP="00BD2924"/>
          <w:p w:rsidR="00BD2924" w:rsidRDefault="00BD2924" w:rsidP="00BD2924"/>
        </w:tc>
      </w:tr>
    </w:tbl>
    <w:p w:rsidR="00807C00" w:rsidRPr="009C38C8" w:rsidRDefault="00807C00" w:rsidP="00807C00">
      <w:pPr>
        <w:rPr>
          <w:i/>
          <w:sz w:val="18"/>
          <w:szCs w:val="18"/>
        </w:rPr>
      </w:pPr>
      <w:r>
        <w:rPr>
          <w:sz w:val="20"/>
          <w:szCs w:val="20"/>
        </w:rPr>
        <w:br/>
      </w:r>
      <w:r w:rsidRPr="009C38C8">
        <w:rPr>
          <w:i/>
          <w:sz w:val="18"/>
          <w:szCs w:val="18"/>
        </w:rPr>
        <w:t>Voorbeeldbrief uit de "</w:t>
      </w:r>
      <w:hyperlink r:id="rId7" w:history="1">
        <w:r w:rsidRPr="009C38C8">
          <w:rPr>
            <w:rStyle w:val="Hyperlink"/>
            <w:i/>
            <w:sz w:val="18"/>
            <w:szCs w:val="18"/>
          </w:rPr>
          <w:t>Brochure voor werkgevers: werkhervatting na afwezigheid wegens medische redenen</w:t>
        </w:r>
      </w:hyperlink>
      <w:r w:rsidRPr="009C38C8">
        <w:rPr>
          <w:i/>
          <w:sz w:val="18"/>
          <w:szCs w:val="18"/>
        </w:rPr>
        <w:t xml:space="preserve">" van de FOD WASO. Deze brochure biedt een antwoord op de volgende vragen: </w:t>
      </w:r>
    </w:p>
    <w:p w:rsidR="00807C00" w:rsidRPr="009C38C8" w:rsidRDefault="00807C00" w:rsidP="00807C00">
      <w:pPr>
        <w:pStyle w:val="Lijstalinea"/>
        <w:numPr>
          <w:ilvl w:val="0"/>
          <w:numId w:val="1"/>
        </w:numPr>
        <w:rPr>
          <w:i/>
          <w:sz w:val="18"/>
          <w:szCs w:val="18"/>
        </w:rPr>
      </w:pPr>
      <w:r w:rsidRPr="009C38C8">
        <w:rPr>
          <w:i/>
          <w:sz w:val="18"/>
          <w:szCs w:val="18"/>
        </w:rPr>
        <w:t>hoe en waarom een beleid opzetten gericht op werkhervatting</w:t>
      </w:r>
      <w:r w:rsidR="009C38C8">
        <w:rPr>
          <w:i/>
          <w:sz w:val="18"/>
          <w:szCs w:val="18"/>
        </w:rPr>
        <w:t>?</w:t>
      </w:r>
    </w:p>
    <w:p w:rsidR="00807C00" w:rsidRPr="009C38C8" w:rsidRDefault="00807C00" w:rsidP="00807C00">
      <w:pPr>
        <w:pStyle w:val="Lijstalinea"/>
        <w:numPr>
          <w:ilvl w:val="0"/>
          <w:numId w:val="1"/>
        </w:numPr>
        <w:rPr>
          <w:i/>
          <w:sz w:val="18"/>
          <w:szCs w:val="18"/>
        </w:rPr>
      </w:pPr>
      <w:r w:rsidRPr="009C38C8">
        <w:rPr>
          <w:i/>
          <w:sz w:val="18"/>
          <w:szCs w:val="18"/>
        </w:rPr>
        <w:t>wie heeft welke verantwoordelijkheid; hoe de taken verdelen</w:t>
      </w:r>
      <w:r w:rsidR="009C38C8">
        <w:rPr>
          <w:i/>
          <w:sz w:val="18"/>
          <w:szCs w:val="18"/>
        </w:rPr>
        <w:t>?</w:t>
      </w:r>
    </w:p>
    <w:p w:rsidR="00807C00" w:rsidRPr="009C38C8" w:rsidRDefault="00807C00" w:rsidP="00807C00">
      <w:pPr>
        <w:pStyle w:val="Lijstalinea"/>
        <w:numPr>
          <w:ilvl w:val="0"/>
          <w:numId w:val="1"/>
        </w:numPr>
        <w:rPr>
          <w:i/>
          <w:sz w:val="18"/>
          <w:szCs w:val="18"/>
        </w:rPr>
      </w:pPr>
      <w:r w:rsidRPr="009C38C8">
        <w:rPr>
          <w:i/>
          <w:sz w:val="18"/>
          <w:szCs w:val="18"/>
        </w:rPr>
        <w:t>hoe werk ik aan een concreet plan van aanpak</w:t>
      </w:r>
      <w:r w:rsidR="009C38C8">
        <w:rPr>
          <w:i/>
          <w:sz w:val="18"/>
          <w:szCs w:val="18"/>
        </w:rPr>
        <w:t>?</w:t>
      </w:r>
    </w:p>
    <w:p w:rsidR="00D23794" w:rsidRDefault="00807C00" w:rsidP="00D23794">
      <w:pPr>
        <w:pStyle w:val="Lijstalinea"/>
        <w:numPr>
          <w:ilvl w:val="0"/>
          <w:numId w:val="1"/>
        </w:numPr>
        <w:rPr>
          <w:i/>
          <w:sz w:val="18"/>
          <w:szCs w:val="18"/>
        </w:rPr>
      </w:pPr>
      <w:r w:rsidRPr="009C38C8">
        <w:rPr>
          <w:i/>
          <w:sz w:val="18"/>
          <w:szCs w:val="18"/>
        </w:rPr>
        <w:t>hoe een werkhervattingstraject opstellen op maat van de werknemer</w:t>
      </w:r>
      <w:r w:rsidR="009C38C8">
        <w:rPr>
          <w:i/>
          <w:sz w:val="18"/>
          <w:szCs w:val="18"/>
        </w:rPr>
        <w:t>?</w:t>
      </w:r>
    </w:p>
    <w:p w:rsidR="00D23794" w:rsidRPr="00D23794" w:rsidRDefault="00D23794" w:rsidP="00D23794">
      <w:pPr>
        <w:rPr>
          <w:i/>
          <w:sz w:val="18"/>
          <w:szCs w:val="18"/>
        </w:rPr>
      </w:pPr>
      <w:r w:rsidRPr="00D23794">
        <w:rPr>
          <w:rFonts w:eastAsia="Times New Roman" w:cs="Times New Roman"/>
          <w:bCs/>
          <w:kern w:val="36"/>
          <w:sz w:val="18"/>
          <w:szCs w:val="18"/>
          <w:lang w:eastAsia="nl-BE"/>
        </w:rPr>
        <w:t xml:space="preserve">Lees meer over </w:t>
      </w:r>
      <w:hyperlink r:id="rId8" w:history="1">
        <w:r w:rsidRPr="00D23794">
          <w:rPr>
            <w:rStyle w:val="Hyperlink"/>
            <w:rFonts w:eastAsia="Times New Roman" w:cs="Times New Roman"/>
            <w:bCs/>
            <w:kern w:val="36"/>
            <w:sz w:val="18"/>
            <w:szCs w:val="18"/>
            <w:lang w:eastAsia="nl-BE"/>
          </w:rPr>
          <w:t>re-integratie na langdurige afwezigheid</w:t>
        </w:r>
      </w:hyperlink>
      <w:r w:rsidRPr="00D23794">
        <w:rPr>
          <w:rFonts w:eastAsia="Times New Roman" w:cs="Times New Roman"/>
          <w:bCs/>
          <w:kern w:val="36"/>
          <w:sz w:val="18"/>
          <w:szCs w:val="18"/>
          <w:lang w:eastAsia="nl-BE"/>
        </w:rPr>
        <w:t xml:space="preserve"> op </w:t>
      </w:r>
      <w:hyperlink r:id="rId9" w:history="1">
        <w:r w:rsidRPr="00D23794">
          <w:rPr>
            <w:rStyle w:val="Hyperlink"/>
            <w:rFonts w:eastAsia="Times New Roman" w:cs="Times New Roman"/>
            <w:bCs/>
            <w:kern w:val="36"/>
            <w:sz w:val="18"/>
            <w:szCs w:val="18"/>
            <w:lang w:eastAsia="nl-BE"/>
          </w:rPr>
          <w:t>www.hrwijs.be</w:t>
        </w:r>
      </w:hyperlink>
      <w:r>
        <w:rPr>
          <w:rFonts w:eastAsia="Times New Roman" w:cs="Times New Roman"/>
          <w:bCs/>
          <w:kern w:val="36"/>
          <w:sz w:val="18"/>
          <w:szCs w:val="18"/>
          <w:lang w:eastAsia="nl-BE"/>
        </w:rPr>
        <w:t>.</w:t>
      </w:r>
      <w:bookmarkStart w:id="0" w:name="_GoBack"/>
      <w:bookmarkEnd w:id="0"/>
    </w:p>
    <w:sectPr w:rsidR="00D23794" w:rsidRPr="00D23794" w:rsidSect="0087351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URWCom-De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BC3"/>
    <w:multiLevelType w:val="hybridMultilevel"/>
    <w:tmpl w:val="BE540D44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F00BD7"/>
    <w:multiLevelType w:val="hybridMultilevel"/>
    <w:tmpl w:val="98DA92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24"/>
    <w:rsid w:val="003E1774"/>
    <w:rsid w:val="00732C23"/>
    <w:rsid w:val="00807C00"/>
    <w:rsid w:val="00853E11"/>
    <w:rsid w:val="0087351B"/>
    <w:rsid w:val="009C38C8"/>
    <w:rsid w:val="00BD2924"/>
    <w:rsid w:val="00D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23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07C0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07C0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07C00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51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23794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23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07C0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07C0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07C00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51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23794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ijs.be/thema/re-integratie-na-langdurige-afwezighe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rwijs.be/sites/default/files/Brochure%20Werkhervatting%20landurig%20zieke%20medewerkers%20-%20Werkgev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wij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D'Hooghe</dc:creator>
  <cp:lastModifiedBy>Kirsten D'Hooghe</cp:lastModifiedBy>
  <cp:revision>6</cp:revision>
  <dcterms:created xsi:type="dcterms:W3CDTF">2016-04-25T12:37:00Z</dcterms:created>
  <dcterms:modified xsi:type="dcterms:W3CDTF">2016-04-27T12:31:00Z</dcterms:modified>
</cp:coreProperties>
</file>